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rtl w:val="0"/>
        </w:rPr>
        <w:t>Ali AlHabeeb</w:t>
      </w:r>
    </w:p>
    <w:p>
      <w:pPr>
        <w:pStyle w:val="Body"/>
        <w:bidi w:val="0"/>
      </w:pPr>
      <w:r>
        <w:rPr>
          <w:rtl w:val="0"/>
        </w:rPr>
        <w:t>421109639</w:t>
      </w:r>
    </w:p>
    <w:p>
      <w:pPr>
        <w:pStyle w:val="Body"/>
        <w:bidi w:val="0"/>
      </w:pPr>
    </w:p>
    <w:p>
      <w:pPr>
        <w:pStyle w:val="Heading"/>
        <w:bidi w:val="0"/>
      </w:pPr>
      <w:r>
        <w:rPr>
          <w:rtl w:val="0"/>
        </w:rPr>
        <w:t>part 1: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317372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Screenshot 2025-01-30 at 1.36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5-01-30 at 1.36.08 PM.png" descr="Screenshot 2025-01-30 at 1.36.08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Heading"/>
        <w:bidi w:val="0"/>
      </w:pPr>
      <w:r>
        <w:rPr>
          <w:rtl w:val="0"/>
        </w:rPr>
        <w:t>part 2: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262167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Screenshot 2025-01-30 at 1.38.1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5-01-30 at 1.38.19 PM.png" descr="Screenshot 2025-01-30 at 1.38.19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you see here this is the tcp packets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this is the tcp handshake :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230982</wp:posOffset>
            </wp:positionV>
            <wp:extent cx="6120057" cy="2366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21"/>
                <wp:lineTo x="0" y="21821"/>
                <wp:lineTo x="0" y="0"/>
              </wp:wrapPolygon>
            </wp:wrapThrough>
            <wp:docPr id="1073741827" name="officeArt object" descr="Screenshot 2025-01-30 at 1.39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5-01-30 at 1.39.14 PM.png" descr="Screenshot 2025-01-30 at 1.39.14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66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here is the data packets exchange and termination process :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175695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Screenshot 2025-01-30 at 1.40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01-30 at 1.40.24 PM.png" descr="Screenshot 2025-01-30 at 1.40.24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4048981</wp:posOffset>
            </wp:positionV>
            <wp:extent cx="6120057" cy="1198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2626"/>
                <wp:lineTo x="0" y="22626"/>
                <wp:lineTo x="0" y="0"/>
              </wp:wrapPolygon>
            </wp:wrapThrough>
            <wp:docPr id="1073741829" name="officeArt object" descr="Screenshot 2025-01-30 at 1.40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5-01-30 at 1.40.29 PM.png" descr="Screenshot 2025-01-30 at 1.40.2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9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Heading"/>
        <w:bidi w:val="0"/>
      </w:pPr>
    </w:p>
    <w:p>
      <w:pPr>
        <w:pStyle w:val="Heading"/>
        <w:bidi w:val="0"/>
      </w:pPr>
      <w:r>
        <w:rPr>
          <w:rtl w:val="0"/>
        </w:rPr>
        <w:t>part 3: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403684</wp:posOffset>
            </wp:positionV>
            <wp:extent cx="6120057" cy="15628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1"/>
                <wp:lineTo x="0" y="21641"/>
                <wp:lineTo x="0" y="0"/>
              </wp:wrapPolygon>
            </wp:wrapThrough>
            <wp:docPr id="1073741830" name="officeArt object" descr="Screenshot 2025-01-30 at 1.43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5-01-30 at 1.43.21 PM.png" descr="Screenshot 2025-01-30 at 1.43.21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628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bidi w:val="0"/>
      </w:pPr>
    </w:p>
    <w:p>
      <w:pPr>
        <w:pStyle w:val="Body"/>
        <w:bidi w:val="0"/>
      </w:pPr>
      <w:r>
        <w:rPr>
          <w:rtl w:val="0"/>
        </w:rPr>
        <w:t>you see here the header file and the packet size for UDP is much smaller than TCP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"/>
        <w:bidi w:val="0"/>
      </w:pPr>
      <w:r>
        <w:rPr>
          <w:rtl w:val="0"/>
        </w:rPr>
        <w:t>part 4 :</w:t>
      </w:r>
    </w:p>
    <w:p>
      <w:pPr>
        <w:pStyle w:val="Body"/>
        <w:bidi w:val="0"/>
      </w:pPr>
    </w:p>
    <w:tbl>
      <w:tblPr>
        <w:tblW w:w="9630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407"/>
        <w:gridCol w:w="2408"/>
        <w:gridCol w:w="4815"/>
      </w:tblGrid>
      <w:tr>
        <w:tblPrEx>
          <w:shd w:val="clear" w:color="auto" w:fill="bdc0bf"/>
        </w:tblPrEx>
        <w:trPr>
          <w:trHeight w:val="295" w:hRule="atLeast"/>
          <w:tblHeader/>
        </w:trPr>
        <w:tc>
          <w:tcPr>
            <w:tcW w:type="dxa" w:w="240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jc w:val="center"/>
            </w:pPr>
            <w:r>
              <w:rPr>
                <w:rFonts w:ascii="Helvetica Neue" w:hAnsi="Helvetica Neue"/>
                <w:rtl w:val="0"/>
              </w:rPr>
              <w:t>TCP or UDP</w:t>
            </w:r>
          </w:p>
        </w:tc>
        <w:tc>
          <w:tcPr>
            <w:tcW w:type="dxa" w:w="48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jc w:val="center"/>
            </w:pPr>
            <w:r>
              <w:rPr>
                <w:rFonts w:ascii="Helvetica Neue" w:hAnsi="Helvetica Neue"/>
                <w:rtl w:val="0"/>
              </w:rPr>
              <w:t>Resons</w:t>
            </w:r>
          </w:p>
        </w:tc>
      </w:tr>
      <w:tr>
        <w:tblPrEx>
          <w:shd w:val="clear" w:color="auto" w:fill="auto"/>
        </w:tblPrEx>
        <w:trPr>
          <w:trHeight w:val="1205" w:hRule="atLeast"/>
        </w:trPr>
        <w:tc>
          <w:tcPr>
            <w:tcW w:type="dxa" w:w="2407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dcdcdc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before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entury Gothic" w:hAnsi="Century Gothic"/>
                <w:sz w:val="22"/>
                <w:szCs w:val="22"/>
                <w:rtl w:val="0"/>
              </w:rPr>
              <w:t>Reliability and Connection</w:t>
            </w:r>
          </w:p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before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entury Gothic" w:hAnsi="Century Gothic"/>
                <w:sz w:val="22"/>
                <w:szCs w:val="22"/>
                <w:rtl w:val="0"/>
              </w:rPr>
              <w:t>Establishment</w:t>
            </w:r>
          </w:p>
        </w:tc>
        <w:tc>
          <w:tcPr>
            <w:tcW w:type="dxa" w:w="2407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center"/>
            </w:pPr>
            <w:r>
              <w:rPr>
                <w:rFonts w:ascii="Helvetica Neue" w:hAnsi="Helvetica Neue"/>
                <w:rtl w:val="0"/>
              </w:rPr>
              <w:t>TCP</w:t>
            </w:r>
          </w:p>
        </w:tc>
        <w:tc>
          <w:tcPr>
            <w:tcW w:type="dxa" w:w="4815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TCP is connection-oriented, using a three-way handshake (SYN, SYN-ACK, ACK) to establish a connection. It ensures reliability through acknowledgments and retransmissions of lost packets.</w:t>
            </w:r>
          </w:p>
        </w:tc>
      </w:tr>
      <w:tr>
        <w:tblPrEx>
          <w:shd w:val="clear" w:color="auto" w:fill="auto"/>
        </w:tblPrEx>
        <w:trPr>
          <w:trHeight w:val="1201" w:hRule="atLeast"/>
        </w:trPr>
        <w:tc>
          <w:tcPr>
            <w:tcW w:type="dxa" w:w="240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dcdcdc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before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entury Gothic" w:hAnsi="Century Gothic"/>
                <w:sz w:val="22"/>
                <w:szCs w:val="22"/>
                <w:rtl w:val="0"/>
              </w:rPr>
              <w:t>Data Integrity and Ordering</w:t>
            </w:r>
          </w:p>
        </w:tc>
        <w:tc>
          <w:tcPr>
            <w:tcW w:type="dxa" w:w="2407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center"/>
            </w:pPr>
            <w:r>
              <w:rPr>
                <w:rFonts w:ascii="Helvetica Neue" w:hAnsi="Helvetica Neue"/>
                <w:rtl w:val="0"/>
              </w:rPr>
              <w:t>TCP</w:t>
            </w:r>
          </w:p>
        </w:tc>
        <w:tc>
          <w:tcPr>
            <w:tcW w:type="dxa" w:w="48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TCP guarantees both data integrity (via checksums) and ordered delivery (via sequence numbers). UDP provides optional checksums for integrity but does not ensure packet ordering.</w:t>
            </w:r>
          </w:p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tbl>
      <w:tblPr>
        <w:tblW w:w="9630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210"/>
        <w:gridCol w:w="3210"/>
        <w:gridCol w:w="3210"/>
      </w:tblGrid>
      <w:tr>
        <w:tblPrEx>
          <w:shd w:val="clear" w:color="auto" w:fill="bdc0bf"/>
        </w:tblPrEx>
        <w:trPr>
          <w:trHeight w:val="295" w:hRule="atLeast"/>
          <w:tblHeader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jc w:val="center"/>
            </w:pPr>
            <w:r>
              <w:rPr>
                <w:rFonts w:ascii="Helvetica Neue" w:hAnsi="Helvetica Neue"/>
                <w:rtl w:val="0"/>
              </w:rPr>
              <w:t>TCP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bdc0b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jc w:val="center"/>
            </w:pPr>
            <w:r>
              <w:rPr>
                <w:rFonts w:ascii="Helvetica Neue" w:hAnsi="Helvetica Neue"/>
                <w:rtl w:val="0"/>
              </w:rPr>
              <w:t>UDP</w:t>
            </w:r>
          </w:p>
        </w:tc>
      </w:tr>
      <w:tr>
        <w:tblPrEx>
          <w:shd w:val="clear" w:color="auto" w:fill="auto"/>
        </w:tblPrEx>
        <w:trPr>
          <w:trHeight w:val="1205" w:hRule="atLeast"/>
        </w:trPr>
        <w:tc>
          <w:tcPr>
            <w:tcW w:type="dxa" w:w="3210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dcdcdc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before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entury Gothic" w:hAnsi="Century Gothic"/>
                <w:sz w:val="22"/>
                <w:szCs w:val="22"/>
                <w:rtl w:val="0"/>
              </w:rPr>
              <w:t>Use cases</w:t>
            </w:r>
          </w:p>
        </w:tc>
        <w:tc>
          <w:tcPr>
            <w:tcW w:type="dxa" w:w="3210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Applications requiring reliable delivery: web browsing (HTTP), email (SMTP), file transfers (FTP).</w:t>
            </w:r>
          </w:p>
        </w:tc>
        <w:tc>
          <w:tcPr>
            <w:tcW w:type="dxa" w:w="3210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Real-time applications: video streaming, VoIP, online gaming, live broadcasts (where speed is prioritized over reliability).</w:t>
            </w:r>
          </w:p>
        </w:tc>
      </w:tr>
      <w:tr>
        <w:tblPrEx>
          <w:shd w:val="clear" w:color="auto" w:fill="auto"/>
        </w:tblPrEx>
        <w:trPr>
          <w:trHeight w:val="1201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dcdcdc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before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entury Gothic" w:hAnsi="Century Gothic"/>
                <w:sz w:val="22"/>
                <w:szCs w:val="22"/>
                <w:rtl w:val="0"/>
              </w:rPr>
              <w:t>Performance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Slower due to connection setup, acknowledgments, and congestion control. Higher reliability but increased latency.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Faster with minimal overhead. Lower latency but no reliability guarantees, making it suitable for time-sensitive transmissions.</w:t>
            </w:r>
          </w:p>
        </w:tc>
      </w:tr>
    </w:tbl>
    <w:p>
      <w:pPr>
        <w:pStyle w:val="Body"/>
        <w:bidi w:val="0"/>
      </w:pPr>
    </w:p>
    <w:sectPr>
      <w:headerReference w:type="default" r:id="rId10"/>
      <w:footerReference w:type="default" r:id="rId1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entury Gothic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Table Style 1">
    <w:name w:val="Table Style 1"/>
    <w:next w:val="Table 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